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35E374A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DE4C65">
        <w:rPr>
          <w:rFonts w:ascii="Arial" w:hAnsi="Arial" w:cs="Arial"/>
          <w:b/>
          <w:bCs/>
          <w:sz w:val="22"/>
        </w:rPr>
        <w:t>6</w:t>
      </w:r>
      <w:r>
        <w:rPr>
          <w:rFonts w:ascii="Arial" w:hAnsi="Arial" w:cs="Arial"/>
          <w:b/>
          <w:bCs/>
          <w:sz w:val="22"/>
        </w:rPr>
        <w:tab/>
      </w:r>
      <w:r w:rsidR="00D24338" w:rsidRPr="001A7991">
        <w:rPr>
          <w:rFonts w:ascii="Arial" w:hAnsi="Arial" w:cs="Arial"/>
          <w:b/>
          <w:bCs/>
          <w:sz w:val="22"/>
        </w:rPr>
        <w:t>R2-1</w:t>
      </w:r>
      <w:r w:rsidR="00193164" w:rsidRPr="001A7991">
        <w:rPr>
          <w:rFonts w:ascii="Arial" w:hAnsi="Arial" w:cs="Arial"/>
          <w:b/>
          <w:bCs/>
          <w:sz w:val="22"/>
        </w:rPr>
        <w:t>9</w:t>
      </w:r>
      <w:r w:rsidR="00F163B9" w:rsidRPr="001A7991">
        <w:rPr>
          <w:rFonts w:ascii="Arial" w:hAnsi="Arial" w:cs="Arial"/>
          <w:b/>
          <w:bCs/>
          <w:sz w:val="22"/>
        </w:rPr>
        <w:t>06399</w:t>
      </w:r>
    </w:p>
    <w:p w14:paraId="619B785A" w14:textId="7AC38D79" w:rsidR="00463675" w:rsidRDefault="00DA6657" w:rsidP="00F23FFC">
      <w:pPr>
        <w:pStyle w:val="Header"/>
        <w:rPr>
          <w:rFonts w:ascii="Arial" w:hAnsi="Arial" w:cs="Arial"/>
          <w:b/>
          <w:bCs/>
          <w:sz w:val="22"/>
        </w:rPr>
      </w:pPr>
      <w:r w:rsidRPr="00DA6657">
        <w:rPr>
          <w:rFonts w:ascii="Arial" w:hAnsi="Arial" w:cs="Arial"/>
          <w:b/>
          <w:bCs/>
          <w:sz w:val="22"/>
          <w:lang w:val="en-US"/>
        </w:rPr>
        <w:t>Reno, Nevada, USA May 13th – May 17th 2019</w:t>
      </w:r>
    </w:p>
    <w:p w14:paraId="2464FE92" w14:textId="77777777" w:rsidR="00463675" w:rsidRDefault="00463675">
      <w:pPr>
        <w:rPr>
          <w:rFonts w:ascii="Arial" w:hAnsi="Arial" w:cs="Arial"/>
        </w:rPr>
      </w:pPr>
    </w:p>
    <w:p w14:paraId="5186F3C4" w14:textId="283DAAE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S on</w:t>
      </w:r>
      <w:r w:rsidR="00847CCB">
        <w:rPr>
          <w:rFonts w:ascii="Arial" w:hAnsi="Arial" w:cs="Arial"/>
          <w:bCs/>
        </w:rPr>
        <w:t xml:space="preserve"> </w:t>
      </w:r>
      <w:r w:rsidR="00DE4C65">
        <w:rPr>
          <w:rFonts w:ascii="Arial" w:hAnsi="Arial" w:cs="Arial"/>
          <w:bCs/>
        </w:rPr>
        <w:t xml:space="preserve">Maximum Number of Candidate Target Cells for </w:t>
      </w:r>
      <w:r w:rsidR="00847CCB">
        <w:rPr>
          <w:rFonts w:ascii="Arial" w:hAnsi="Arial" w:cs="Arial"/>
          <w:bCs/>
        </w:rPr>
        <w:t>Conditional H</w:t>
      </w:r>
      <w:r w:rsidR="005741D6">
        <w:rPr>
          <w:rFonts w:ascii="Arial" w:hAnsi="Arial" w:cs="Arial"/>
          <w:bCs/>
        </w:rPr>
        <w:t>andover</w:t>
      </w:r>
      <w:r w:rsidR="003527DA">
        <w:rPr>
          <w:rFonts w:ascii="Arial" w:hAnsi="Arial" w:cs="Arial"/>
          <w:bCs/>
        </w:rPr>
        <w:t xml:space="preserve"> in E-UTRAN</w:t>
      </w:r>
      <w:r w:rsidR="006F799E">
        <w:rPr>
          <w:rFonts w:ascii="Arial" w:hAnsi="Arial" w:cs="Arial"/>
          <w:bCs/>
        </w:rPr>
        <w:t xml:space="preserve"> </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CF9D5D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847CCB">
        <w:rPr>
          <w:rFonts w:ascii="Arial" w:hAnsi="Arial" w:cs="Arial"/>
          <w:bCs/>
        </w:rPr>
        <w:t>6</w:t>
      </w:r>
    </w:p>
    <w:p w14:paraId="6AC83482" w14:textId="60D152FA"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847CCB">
        <w:rPr>
          <w:rFonts w:ascii="Arial" w:hAnsi="Arial" w:cs="Arial"/>
          <w:bCs/>
        </w:rPr>
        <w:t>LTE</w:t>
      </w:r>
      <w:r w:rsidR="00505765">
        <w:rPr>
          <w:rFonts w:ascii="Arial" w:hAnsi="Arial" w:cs="Arial"/>
          <w:bCs/>
        </w:rPr>
        <w:t>_</w:t>
      </w:r>
      <w:r w:rsidR="00847CCB">
        <w:rPr>
          <w:rFonts w:ascii="Arial" w:hAnsi="Arial" w:cs="Arial"/>
          <w:bCs/>
        </w:rPr>
        <w:t>feMob</w:t>
      </w:r>
      <w:proofErr w:type="spellEnd"/>
      <w:r w:rsidR="00847CCB">
        <w:rPr>
          <w:rFonts w:ascii="Arial" w:hAnsi="Arial" w:cs="Arial"/>
          <w:bCs/>
        </w:rPr>
        <w:t>-Core</w:t>
      </w:r>
    </w:p>
    <w:p w14:paraId="1D9353D1" w14:textId="77777777" w:rsidR="00463675" w:rsidRPr="00385529" w:rsidRDefault="00463675">
      <w:pPr>
        <w:spacing w:after="60"/>
        <w:ind w:left="1985" w:hanging="1985"/>
        <w:rPr>
          <w:rFonts w:ascii="Arial" w:hAnsi="Arial" w:cs="Arial"/>
          <w:b/>
        </w:rPr>
      </w:pPr>
    </w:p>
    <w:p w14:paraId="380344AE" w14:textId="65ADC217"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 xml:space="preserve">Nokia </w:t>
      </w:r>
    </w:p>
    <w:p w14:paraId="706E9330" w14:textId="73F2A09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E02130">
        <w:rPr>
          <w:rFonts w:ascii="Arial" w:hAnsi="Arial" w:cs="Arial"/>
          <w:bCs/>
        </w:rPr>
        <w:t>RAN</w:t>
      </w:r>
      <w:r w:rsidR="00385529" w:rsidRPr="00385529">
        <w:rPr>
          <w:rFonts w:ascii="Arial" w:hAnsi="Arial" w:cs="Arial"/>
          <w:bCs/>
        </w:rPr>
        <w:t xml:space="preserve"> WG</w:t>
      </w:r>
      <w:r w:rsidR="00DE4C65">
        <w:rPr>
          <w:rFonts w:ascii="Arial" w:hAnsi="Arial" w:cs="Arial"/>
          <w:bCs/>
        </w:rPr>
        <w:t>4</w:t>
      </w:r>
      <w:r w:rsidR="00F90A48">
        <w:rPr>
          <w:rFonts w:ascii="Arial" w:hAnsi="Arial" w:cs="Arial"/>
          <w:bCs/>
        </w:rPr>
        <w:t>, TSG RAN WG1, RAN WG3</w:t>
      </w:r>
    </w:p>
    <w:p w14:paraId="4EFE95BE" w14:textId="3E089BD9"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F90A48">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EFF4F13" w:rsidR="00463675" w:rsidRDefault="00463675">
      <w:pPr>
        <w:pStyle w:val="Heading4"/>
        <w:tabs>
          <w:tab w:val="left" w:pos="2268"/>
        </w:tabs>
        <w:ind w:left="567"/>
        <w:rPr>
          <w:rFonts w:cs="Arial"/>
          <w:b w:val="0"/>
          <w:bCs/>
        </w:rPr>
      </w:pPr>
      <w:r>
        <w:rPr>
          <w:rFonts w:cs="Arial"/>
        </w:rPr>
        <w:t>Name:</w:t>
      </w:r>
      <w:r>
        <w:rPr>
          <w:rFonts w:cs="Arial"/>
          <w:b w:val="0"/>
          <w:bCs/>
        </w:rPr>
        <w:tab/>
      </w:r>
      <w:r w:rsidR="00DE4C65">
        <w:rPr>
          <w:rFonts w:cs="Arial"/>
          <w:b w:val="0"/>
          <w:bCs/>
        </w:rPr>
        <w:t>Maulik Vaidya</w:t>
      </w:r>
    </w:p>
    <w:p w14:paraId="2748A78E" w14:textId="28E0DD8D"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DE4C65">
        <w:rPr>
          <w:rFonts w:cs="Arial"/>
          <w:b w:val="0"/>
          <w:bCs/>
          <w:lang w:val="fr-FR"/>
        </w:rPr>
        <w:t>maulik.vaidya@charter.com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Pr="00537F50" w:rsidRDefault="00463675">
      <w:pPr>
        <w:spacing w:after="120"/>
        <w:rPr>
          <w:rFonts w:ascii="Arial" w:hAnsi="Arial" w:cs="Arial"/>
          <w:b/>
          <w:sz w:val="22"/>
        </w:rPr>
      </w:pPr>
      <w:r w:rsidRPr="00537F50">
        <w:rPr>
          <w:rFonts w:ascii="Arial" w:hAnsi="Arial" w:cs="Arial"/>
          <w:b/>
          <w:sz w:val="22"/>
        </w:rPr>
        <w:t>1. Overall Description:</w:t>
      </w:r>
    </w:p>
    <w:p w14:paraId="288F18B1" w14:textId="6C0E3504" w:rsidR="00DF1BA4" w:rsidRDefault="00116B82" w:rsidP="009813C9">
      <w:pPr>
        <w:pStyle w:val="Header"/>
        <w:tabs>
          <w:tab w:val="clear" w:pos="4153"/>
          <w:tab w:val="clear" w:pos="8306"/>
        </w:tabs>
        <w:spacing w:after="120"/>
        <w:jc w:val="both"/>
        <w:rPr>
          <w:rFonts w:ascii="Arial" w:hAnsi="Arial" w:cs="Arial"/>
          <w:lang w:val="en-US"/>
        </w:rPr>
      </w:pPr>
      <w:r>
        <w:rPr>
          <w:rFonts w:ascii="Arial" w:hAnsi="Arial" w:cs="Arial"/>
          <w:lang w:val="en-US"/>
        </w:rPr>
        <w:t xml:space="preserve">As a part of Rel-16 </w:t>
      </w:r>
      <w:proofErr w:type="spellStart"/>
      <w:r>
        <w:rPr>
          <w:rFonts w:ascii="Arial" w:hAnsi="Arial" w:cs="Arial"/>
          <w:lang w:val="en-US"/>
        </w:rPr>
        <w:t>LTE_feMob</w:t>
      </w:r>
      <w:proofErr w:type="spellEnd"/>
      <w:r>
        <w:rPr>
          <w:rFonts w:ascii="Arial" w:hAnsi="Arial" w:cs="Arial"/>
          <w:lang w:val="en-US"/>
        </w:rPr>
        <w:t xml:space="preserve">-Core, RAN2 </w:t>
      </w:r>
      <w:r w:rsidR="00DE4C65">
        <w:rPr>
          <w:rFonts w:ascii="Arial" w:hAnsi="Arial" w:cs="Arial"/>
          <w:lang w:val="en-US"/>
        </w:rPr>
        <w:t xml:space="preserve">is </w:t>
      </w:r>
      <w:r>
        <w:rPr>
          <w:rFonts w:ascii="Arial" w:hAnsi="Arial" w:cs="Arial"/>
          <w:lang w:val="en-US"/>
        </w:rPr>
        <w:t>work</w:t>
      </w:r>
      <w:r w:rsidR="00DE4C65">
        <w:rPr>
          <w:rFonts w:ascii="Arial" w:hAnsi="Arial" w:cs="Arial"/>
          <w:lang w:val="en-US"/>
        </w:rPr>
        <w:t>ing</w:t>
      </w:r>
      <w:r>
        <w:rPr>
          <w:rFonts w:ascii="Arial" w:hAnsi="Arial" w:cs="Arial"/>
          <w:lang w:val="en-US"/>
        </w:rPr>
        <w:t xml:space="preserve"> on the details of Conditional Handover (CHO). CHO is the solution, wherein the UE does not immediately execute the HO command</w:t>
      </w:r>
      <w:r w:rsidR="00E02F9B">
        <w:rPr>
          <w:rFonts w:ascii="Arial" w:hAnsi="Arial" w:cs="Arial"/>
          <w:lang w:val="en-US"/>
        </w:rPr>
        <w:t xml:space="preserve"> </w:t>
      </w:r>
      <w:r w:rsidR="00370D91">
        <w:rPr>
          <w:rFonts w:ascii="Arial" w:hAnsi="Arial" w:cs="Arial"/>
          <w:lang w:val="en-US"/>
        </w:rPr>
        <w:t xml:space="preserve">but stores it until </w:t>
      </w:r>
      <w:r w:rsidR="003957FA">
        <w:rPr>
          <w:rFonts w:ascii="Arial" w:hAnsi="Arial" w:cs="Arial"/>
          <w:lang w:val="en-US"/>
        </w:rPr>
        <w:t xml:space="preserve">a </w:t>
      </w:r>
      <w:r w:rsidR="00370D91">
        <w:rPr>
          <w:rFonts w:ascii="Arial" w:hAnsi="Arial" w:cs="Arial"/>
          <w:lang w:val="en-US"/>
        </w:rPr>
        <w:t>triggering condition</w:t>
      </w:r>
      <w:r w:rsidR="00955C88">
        <w:rPr>
          <w:rFonts w:ascii="Arial" w:hAnsi="Arial" w:cs="Arial"/>
          <w:lang w:val="en-US"/>
        </w:rPr>
        <w:t>,</w:t>
      </w:r>
      <w:r w:rsidR="003957FA">
        <w:rPr>
          <w:rFonts w:ascii="Arial" w:hAnsi="Arial" w:cs="Arial"/>
          <w:lang w:val="en-US"/>
        </w:rPr>
        <w:t xml:space="preserve"> configured along with the HO command</w:t>
      </w:r>
      <w:r w:rsidR="00955C88">
        <w:rPr>
          <w:rFonts w:ascii="Arial" w:hAnsi="Arial" w:cs="Arial"/>
          <w:lang w:val="en-US"/>
        </w:rPr>
        <w:t>, is met</w:t>
      </w:r>
      <w:r w:rsidR="00370D91">
        <w:rPr>
          <w:rFonts w:ascii="Arial" w:hAnsi="Arial" w:cs="Arial"/>
          <w:lang w:val="en-US"/>
        </w:rPr>
        <w:t>. When the condition is met, the UE immediately executes the HO comman</w:t>
      </w:r>
      <w:r w:rsidR="004B10B5">
        <w:rPr>
          <w:rFonts w:ascii="Arial" w:hAnsi="Arial" w:cs="Arial"/>
          <w:lang w:val="en-US"/>
        </w:rPr>
        <w:t>d and accesses the target cell.</w:t>
      </w:r>
      <w:r w:rsidR="006F799E">
        <w:rPr>
          <w:rFonts w:ascii="Arial" w:hAnsi="Arial" w:cs="Arial"/>
          <w:lang w:val="en-US"/>
        </w:rPr>
        <w:t xml:space="preserve"> It </w:t>
      </w:r>
      <w:r w:rsidR="008B43E2">
        <w:rPr>
          <w:rFonts w:ascii="Arial" w:hAnsi="Arial" w:cs="Arial"/>
          <w:lang w:val="en-US"/>
        </w:rPr>
        <w:t>has</w:t>
      </w:r>
      <w:r w:rsidR="006F799E">
        <w:rPr>
          <w:rFonts w:ascii="Arial" w:hAnsi="Arial" w:cs="Arial"/>
          <w:lang w:val="en-US"/>
        </w:rPr>
        <w:t xml:space="preserve"> been</w:t>
      </w:r>
      <w:r w:rsidR="008B43E2">
        <w:rPr>
          <w:rFonts w:ascii="Arial" w:hAnsi="Arial" w:cs="Arial"/>
          <w:lang w:val="en-US"/>
        </w:rPr>
        <w:t xml:space="preserve"> agreed there could be a single or multiple candidate target cells for CHO.</w:t>
      </w:r>
      <w:r w:rsidR="00DE4C65">
        <w:rPr>
          <w:rFonts w:ascii="Arial" w:hAnsi="Arial" w:cs="Arial"/>
          <w:lang w:val="en-US"/>
        </w:rPr>
        <w:t xml:space="preserve"> </w:t>
      </w:r>
    </w:p>
    <w:p w14:paraId="7814C825" w14:textId="520B1CD1" w:rsidR="00BC0E4B" w:rsidRDefault="00BC0E4B" w:rsidP="009813C9">
      <w:pPr>
        <w:pStyle w:val="Header"/>
        <w:tabs>
          <w:tab w:val="clear" w:pos="4153"/>
          <w:tab w:val="clear" w:pos="8306"/>
        </w:tabs>
        <w:spacing w:after="120"/>
        <w:jc w:val="both"/>
        <w:rPr>
          <w:rFonts w:ascii="Arial" w:hAnsi="Arial" w:cs="Arial"/>
          <w:lang w:val="en-US"/>
        </w:rPr>
      </w:pPr>
    </w:p>
    <w:p w14:paraId="0F5D58E4" w14:textId="1698FE55" w:rsidR="00383695" w:rsidRPr="00383695" w:rsidRDefault="00383695" w:rsidP="009813C9">
      <w:pPr>
        <w:pStyle w:val="Header"/>
        <w:tabs>
          <w:tab w:val="clear" w:pos="4153"/>
          <w:tab w:val="clear" w:pos="8306"/>
        </w:tabs>
        <w:spacing w:after="120"/>
        <w:jc w:val="both"/>
        <w:rPr>
          <w:rFonts w:ascii="Arial" w:hAnsi="Arial" w:cs="Arial"/>
          <w:b/>
          <w:lang w:val="en-US"/>
        </w:rPr>
      </w:pPr>
      <w:r w:rsidRPr="00383695">
        <w:rPr>
          <w:rFonts w:ascii="Arial" w:hAnsi="Arial" w:cs="Arial"/>
          <w:b/>
          <w:lang w:val="en-US"/>
        </w:rPr>
        <w:t>(A)</w:t>
      </w:r>
    </w:p>
    <w:p w14:paraId="0AF90167" w14:textId="446E011E" w:rsidR="00DE4C65" w:rsidRDefault="00DF1BA4" w:rsidP="00DE4C65">
      <w:pPr>
        <w:pStyle w:val="Header"/>
        <w:tabs>
          <w:tab w:val="clear" w:pos="4153"/>
          <w:tab w:val="clear" w:pos="8306"/>
        </w:tabs>
        <w:spacing w:after="120"/>
        <w:jc w:val="both"/>
        <w:rPr>
          <w:rFonts w:ascii="Arial" w:hAnsi="Arial" w:cs="Arial"/>
          <w:lang w:val="en-US"/>
        </w:rPr>
      </w:pPr>
      <w:r>
        <w:rPr>
          <w:rFonts w:ascii="Arial" w:hAnsi="Arial" w:cs="Arial"/>
          <w:lang w:val="en-US"/>
        </w:rPr>
        <w:t xml:space="preserve">RAN2 </w:t>
      </w:r>
      <w:r w:rsidR="00DE4C65">
        <w:rPr>
          <w:rFonts w:ascii="Arial" w:hAnsi="Arial" w:cs="Arial"/>
          <w:lang w:val="en-US"/>
        </w:rPr>
        <w:t>has</w:t>
      </w:r>
      <w:r w:rsidR="00290F72">
        <w:rPr>
          <w:rFonts w:ascii="Arial" w:hAnsi="Arial" w:cs="Arial"/>
          <w:lang w:val="en-US"/>
        </w:rPr>
        <w:t xml:space="preserve"> additionally</w:t>
      </w:r>
      <w:r>
        <w:rPr>
          <w:rFonts w:ascii="Arial" w:hAnsi="Arial" w:cs="Arial"/>
          <w:lang w:val="en-US"/>
        </w:rPr>
        <w:t xml:space="preserve"> agreed</w:t>
      </w:r>
      <w:r w:rsidR="00290F72">
        <w:rPr>
          <w:rFonts w:ascii="Arial" w:hAnsi="Arial" w:cs="Arial"/>
          <w:lang w:val="en-US"/>
        </w:rPr>
        <w:t xml:space="preserve"> </w:t>
      </w:r>
      <w:r w:rsidR="00DE4C65">
        <w:rPr>
          <w:rFonts w:ascii="Arial" w:hAnsi="Arial" w:cs="Arial"/>
          <w:lang w:val="en-US"/>
        </w:rPr>
        <w:t>to set the upper limit</w:t>
      </w:r>
      <w:r w:rsidR="00BC0E4B">
        <w:rPr>
          <w:rFonts w:ascii="Arial" w:hAnsi="Arial" w:cs="Arial"/>
          <w:lang w:val="en-US"/>
        </w:rPr>
        <w:t xml:space="preserve">, as a design target for Rel-16, </w:t>
      </w:r>
      <w:r w:rsidR="00DE4C65">
        <w:rPr>
          <w:rFonts w:ascii="Arial" w:hAnsi="Arial" w:cs="Arial"/>
          <w:lang w:val="en-US"/>
        </w:rPr>
        <w:t>on the number of candidate target cells for CHO to be 16</w:t>
      </w:r>
      <w:r w:rsidR="005442C3">
        <w:rPr>
          <w:rFonts w:ascii="Arial" w:hAnsi="Arial" w:cs="Arial"/>
          <w:lang w:val="en-US"/>
        </w:rPr>
        <w:t>. The following clarifications apply:</w:t>
      </w:r>
    </w:p>
    <w:p w14:paraId="2EA61EA2" w14:textId="207F99C9" w:rsidR="005442C3" w:rsidRDefault="00BC0E4B" w:rsidP="005442C3">
      <w:pPr>
        <w:pStyle w:val="Header"/>
        <w:numPr>
          <w:ilvl w:val="0"/>
          <w:numId w:val="13"/>
        </w:numPr>
        <w:tabs>
          <w:tab w:val="clear" w:pos="4153"/>
          <w:tab w:val="clear" w:pos="8306"/>
        </w:tabs>
        <w:spacing w:after="120"/>
        <w:jc w:val="both"/>
        <w:rPr>
          <w:rFonts w:ascii="Arial" w:hAnsi="Arial" w:cs="Arial"/>
          <w:lang w:val="en-US"/>
        </w:rPr>
      </w:pPr>
      <w:r>
        <w:rPr>
          <w:rFonts w:ascii="Arial" w:hAnsi="Arial" w:cs="Arial"/>
          <w:lang w:val="en-US"/>
        </w:rPr>
        <w:t xml:space="preserve">This </w:t>
      </w:r>
      <w:r w:rsidR="005442C3">
        <w:rPr>
          <w:rFonts w:ascii="Arial" w:hAnsi="Arial" w:cs="Arial"/>
          <w:lang w:val="en-US"/>
        </w:rPr>
        <w:t xml:space="preserve">is applicable </w:t>
      </w:r>
      <w:r>
        <w:rPr>
          <w:rFonts w:ascii="Arial" w:hAnsi="Arial" w:cs="Arial"/>
          <w:lang w:val="en-US"/>
        </w:rPr>
        <w:t>for</w:t>
      </w:r>
      <w:r w:rsidR="005442C3">
        <w:rPr>
          <w:rFonts w:ascii="Arial" w:hAnsi="Arial" w:cs="Arial"/>
          <w:lang w:val="en-US"/>
        </w:rPr>
        <w:t xml:space="preserve"> intra-frequency </w:t>
      </w:r>
      <w:r>
        <w:rPr>
          <w:rFonts w:ascii="Arial" w:hAnsi="Arial" w:cs="Arial"/>
          <w:lang w:val="en-US"/>
        </w:rPr>
        <w:t xml:space="preserve">only, </w:t>
      </w:r>
      <w:r w:rsidR="005442C3">
        <w:rPr>
          <w:rFonts w:ascii="Arial" w:hAnsi="Arial" w:cs="Arial"/>
          <w:lang w:val="en-US"/>
        </w:rPr>
        <w:t xml:space="preserve">inter-frequency </w:t>
      </w:r>
      <w:r>
        <w:rPr>
          <w:rFonts w:ascii="Arial" w:hAnsi="Arial" w:cs="Arial"/>
          <w:lang w:val="en-US"/>
        </w:rPr>
        <w:t xml:space="preserve">only, and a combination of intra- and inter- frequency </w:t>
      </w:r>
      <w:r w:rsidR="005442C3">
        <w:rPr>
          <w:rFonts w:ascii="Arial" w:hAnsi="Arial" w:cs="Arial"/>
          <w:lang w:val="en-US"/>
        </w:rPr>
        <w:t>cases.</w:t>
      </w:r>
    </w:p>
    <w:p w14:paraId="612DC48B" w14:textId="1D9E5321" w:rsidR="005442C3" w:rsidRDefault="005442C3" w:rsidP="005442C3">
      <w:pPr>
        <w:pStyle w:val="Header"/>
        <w:numPr>
          <w:ilvl w:val="0"/>
          <w:numId w:val="13"/>
        </w:numPr>
        <w:tabs>
          <w:tab w:val="clear" w:pos="4153"/>
          <w:tab w:val="clear" w:pos="8306"/>
        </w:tabs>
        <w:spacing w:after="120"/>
        <w:jc w:val="both"/>
        <w:rPr>
          <w:rFonts w:ascii="Arial" w:hAnsi="Arial" w:cs="Arial"/>
          <w:lang w:val="en-US"/>
        </w:rPr>
      </w:pPr>
      <w:r>
        <w:rPr>
          <w:rFonts w:ascii="Arial" w:hAnsi="Arial" w:cs="Arial"/>
          <w:lang w:val="en-US"/>
        </w:rPr>
        <w:t xml:space="preserve">Within each frequency layer, the candidate CHO target cells can be restricted to E-UTRA </w:t>
      </w:r>
      <w:r w:rsidR="00BC0E4B">
        <w:rPr>
          <w:rFonts w:ascii="Arial" w:hAnsi="Arial" w:cs="Arial"/>
          <w:lang w:val="en-US"/>
        </w:rPr>
        <w:t xml:space="preserve">only, </w:t>
      </w:r>
      <w:r>
        <w:rPr>
          <w:rFonts w:ascii="Arial" w:hAnsi="Arial" w:cs="Arial"/>
          <w:lang w:val="en-US"/>
        </w:rPr>
        <w:t>NR</w:t>
      </w:r>
      <w:r w:rsidR="00BC0E4B">
        <w:rPr>
          <w:rFonts w:ascii="Arial" w:hAnsi="Arial" w:cs="Arial"/>
          <w:lang w:val="en-US"/>
        </w:rPr>
        <w:t>-only, or E-UTRAN and NR carriers.</w:t>
      </w:r>
    </w:p>
    <w:p w14:paraId="2F223E60" w14:textId="5E693D7F" w:rsidR="00BC0E4B" w:rsidRPr="00FE7155" w:rsidRDefault="00BC0E4B" w:rsidP="005442C3">
      <w:pPr>
        <w:pStyle w:val="Header"/>
        <w:numPr>
          <w:ilvl w:val="0"/>
          <w:numId w:val="13"/>
        </w:numPr>
        <w:tabs>
          <w:tab w:val="clear" w:pos="4153"/>
          <w:tab w:val="clear" w:pos="8306"/>
        </w:tabs>
        <w:spacing w:after="120"/>
        <w:jc w:val="both"/>
        <w:rPr>
          <w:rFonts w:ascii="Arial" w:hAnsi="Arial" w:cs="Arial"/>
          <w:lang w:val="en-US"/>
        </w:rPr>
      </w:pPr>
      <w:r>
        <w:rPr>
          <w:rFonts w:ascii="Arial" w:hAnsi="Arial" w:cs="Arial"/>
          <w:lang w:val="en-US"/>
        </w:rPr>
        <w:t>The upper limit of 16 applies to total number of cells</w:t>
      </w:r>
      <w:r w:rsidR="00565544">
        <w:rPr>
          <w:rFonts w:ascii="Arial" w:hAnsi="Arial" w:cs="Arial"/>
          <w:lang w:val="en-US"/>
        </w:rPr>
        <w:t xml:space="preserve"> (across all frequency layers)</w:t>
      </w:r>
      <w:r>
        <w:rPr>
          <w:rFonts w:ascii="Arial" w:hAnsi="Arial" w:cs="Arial"/>
          <w:lang w:val="en-US"/>
        </w:rPr>
        <w:t xml:space="preserve"> for which </w:t>
      </w:r>
      <w:r w:rsidR="00565544">
        <w:rPr>
          <w:rFonts w:ascii="Arial" w:hAnsi="Arial" w:cs="Arial"/>
          <w:lang w:val="en-US"/>
        </w:rPr>
        <w:t xml:space="preserve">the UE is being requested to perform CHO evaluation </w:t>
      </w:r>
      <w:r>
        <w:rPr>
          <w:rFonts w:ascii="Arial" w:hAnsi="Arial" w:cs="Arial"/>
          <w:lang w:val="en-US"/>
        </w:rPr>
        <w:t>by the network.</w:t>
      </w:r>
    </w:p>
    <w:p w14:paraId="087A979D" w14:textId="0661CDAA" w:rsidR="00565544" w:rsidRDefault="00565544" w:rsidP="00DE4C65">
      <w:pPr>
        <w:pStyle w:val="Header"/>
        <w:tabs>
          <w:tab w:val="clear" w:pos="4153"/>
          <w:tab w:val="clear" w:pos="8306"/>
        </w:tabs>
        <w:spacing w:after="120"/>
        <w:jc w:val="both"/>
        <w:rPr>
          <w:rFonts w:ascii="Arial" w:hAnsi="Arial" w:cs="Arial"/>
          <w:lang w:val="en-US"/>
        </w:rPr>
      </w:pPr>
    </w:p>
    <w:p w14:paraId="711BA183" w14:textId="330C0914" w:rsidR="00383695" w:rsidRPr="00383695" w:rsidRDefault="00383695" w:rsidP="00DE4C65">
      <w:pPr>
        <w:pStyle w:val="Header"/>
        <w:tabs>
          <w:tab w:val="clear" w:pos="4153"/>
          <w:tab w:val="clear" w:pos="8306"/>
        </w:tabs>
        <w:spacing w:after="120"/>
        <w:jc w:val="both"/>
        <w:rPr>
          <w:rFonts w:ascii="Arial" w:hAnsi="Arial" w:cs="Arial"/>
          <w:b/>
          <w:lang w:val="en-US"/>
        </w:rPr>
      </w:pPr>
      <w:r w:rsidRPr="00383695">
        <w:rPr>
          <w:rFonts w:ascii="Arial" w:hAnsi="Arial" w:cs="Arial"/>
          <w:b/>
          <w:lang w:val="en-US"/>
        </w:rPr>
        <w:t>(B)</w:t>
      </w:r>
    </w:p>
    <w:p w14:paraId="00C2ACA3" w14:textId="5C7F1315" w:rsidR="003D6E68" w:rsidRDefault="007B722C" w:rsidP="00DE4C65">
      <w:pPr>
        <w:pStyle w:val="Header"/>
        <w:tabs>
          <w:tab w:val="clear" w:pos="4153"/>
          <w:tab w:val="clear" w:pos="8306"/>
        </w:tabs>
        <w:spacing w:after="120"/>
        <w:jc w:val="both"/>
        <w:rPr>
          <w:rFonts w:ascii="Arial" w:hAnsi="Arial" w:cs="Arial"/>
          <w:lang w:val="en-US"/>
        </w:rPr>
      </w:pPr>
      <w:r>
        <w:rPr>
          <w:rFonts w:ascii="Arial" w:hAnsi="Arial" w:cs="Arial"/>
          <w:lang w:val="en-US"/>
        </w:rPr>
        <w:t xml:space="preserve">In addition, RAN2 </w:t>
      </w:r>
      <w:r w:rsidR="003D6E68">
        <w:rPr>
          <w:rFonts w:ascii="Arial" w:hAnsi="Arial" w:cs="Arial"/>
          <w:lang w:val="en-US"/>
        </w:rPr>
        <w:t xml:space="preserve">discussed the need for a </w:t>
      </w:r>
      <w:r>
        <w:rPr>
          <w:rFonts w:ascii="Arial" w:hAnsi="Arial" w:cs="Arial"/>
          <w:lang w:val="en-US"/>
        </w:rPr>
        <w:t xml:space="preserve">Conditional Handover “Bye” message on the source link (UE to source </w:t>
      </w:r>
      <w:proofErr w:type="spellStart"/>
      <w:r>
        <w:rPr>
          <w:rFonts w:ascii="Arial" w:hAnsi="Arial" w:cs="Arial"/>
          <w:lang w:val="en-US"/>
        </w:rPr>
        <w:t>eNB</w:t>
      </w:r>
      <w:proofErr w:type="spellEnd"/>
      <w:r>
        <w:rPr>
          <w:rFonts w:ascii="Arial" w:hAnsi="Arial" w:cs="Arial"/>
          <w:lang w:val="en-US"/>
        </w:rPr>
        <w:t xml:space="preserve"> direction)</w:t>
      </w:r>
      <w:r w:rsidR="003D6E68">
        <w:rPr>
          <w:rFonts w:ascii="Arial" w:hAnsi="Arial" w:cs="Arial"/>
          <w:lang w:val="en-US"/>
        </w:rPr>
        <w:t xml:space="preserve">. </w:t>
      </w:r>
      <w:r>
        <w:rPr>
          <w:rFonts w:ascii="Arial" w:hAnsi="Arial" w:cs="Arial"/>
          <w:lang w:val="en-US"/>
        </w:rPr>
        <w:t xml:space="preserve">This message is expected to be sent by UE on the source link after the CHO triggering criteria has been satisfied but before UE initiates RACH procedure with the target node. </w:t>
      </w:r>
      <w:r w:rsidR="00BE656A">
        <w:rPr>
          <w:rFonts w:ascii="Arial" w:hAnsi="Arial" w:cs="Arial"/>
          <w:lang w:val="en-US"/>
        </w:rPr>
        <w:t xml:space="preserve">If such a message can optionally include the target cell’s PCI, then it would help source </w:t>
      </w:r>
      <w:proofErr w:type="spellStart"/>
      <w:r w:rsidR="00BE656A">
        <w:rPr>
          <w:rFonts w:ascii="Arial" w:hAnsi="Arial" w:cs="Arial"/>
          <w:lang w:val="en-US"/>
        </w:rPr>
        <w:t>eNB</w:t>
      </w:r>
      <w:proofErr w:type="spellEnd"/>
      <w:r w:rsidR="00BE656A">
        <w:rPr>
          <w:rFonts w:ascii="Arial" w:hAnsi="Arial" w:cs="Arial"/>
          <w:lang w:val="en-US"/>
        </w:rPr>
        <w:t xml:space="preserve"> take, if required, any necessary resource clean-up actions towards the appropriate target node’s cell(s). </w:t>
      </w:r>
      <w:r w:rsidR="003D6E68">
        <w:rPr>
          <w:rFonts w:ascii="Arial" w:hAnsi="Arial" w:cs="Arial"/>
          <w:lang w:val="en-US"/>
        </w:rPr>
        <w:t xml:space="preserve">RAN2 determined that between a layer 3 (RRC) signaling vs layer 1 (PHY) signaling, a layer 1 mechanism reduces the re-transmission (and consequently Handover) delays associated with layer 3 mechanism. Therefore, RAN2 humbly requests </w:t>
      </w:r>
    </w:p>
    <w:p w14:paraId="2C618017" w14:textId="600E6E9D" w:rsidR="00565544" w:rsidRDefault="003D6E68" w:rsidP="003D6E68">
      <w:pPr>
        <w:pStyle w:val="Header"/>
        <w:numPr>
          <w:ilvl w:val="0"/>
          <w:numId w:val="15"/>
        </w:numPr>
        <w:tabs>
          <w:tab w:val="clear" w:pos="4153"/>
          <w:tab w:val="clear" w:pos="8306"/>
        </w:tabs>
        <w:spacing w:after="120"/>
        <w:jc w:val="both"/>
        <w:rPr>
          <w:rFonts w:ascii="Arial" w:hAnsi="Arial" w:cs="Arial"/>
          <w:lang w:val="en-US"/>
        </w:rPr>
      </w:pPr>
      <w:r>
        <w:rPr>
          <w:rFonts w:ascii="Arial" w:hAnsi="Arial" w:cs="Arial"/>
          <w:lang w:val="en-US"/>
        </w:rPr>
        <w:t xml:space="preserve">RAN1 to provide a layer 1 mechanism for the UE to inform the source </w:t>
      </w:r>
      <w:proofErr w:type="spellStart"/>
      <w:r>
        <w:rPr>
          <w:rFonts w:ascii="Arial" w:hAnsi="Arial" w:cs="Arial"/>
          <w:lang w:val="en-US"/>
        </w:rPr>
        <w:t>eNB</w:t>
      </w:r>
      <w:proofErr w:type="spellEnd"/>
      <w:r>
        <w:rPr>
          <w:rFonts w:ascii="Arial" w:hAnsi="Arial" w:cs="Arial"/>
          <w:lang w:val="en-US"/>
        </w:rPr>
        <w:t xml:space="preserve"> of its departure from the source cell</w:t>
      </w:r>
      <w:r w:rsidR="00D6396A">
        <w:rPr>
          <w:rFonts w:ascii="Arial" w:hAnsi="Arial" w:cs="Arial"/>
          <w:lang w:val="en-US"/>
        </w:rPr>
        <w:t>, along with optional</w:t>
      </w:r>
      <w:r w:rsidR="00BC1963">
        <w:rPr>
          <w:rFonts w:ascii="Arial" w:hAnsi="Arial" w:cs="Arial"/>
          <w:lang w:val="en-US"/>
        </w:rPr>
        <w:t>ly including the</w:t>
      </w:r>
      <w:r w:rsidR="00D6396A">
        <w:rPr>
          <w:rFonts w:ascii="Arial" w:hAnsi="Arial" w:cs="Arial"/>
          <w:lang w:val="en-US"/>
        </w:rPr>
        <w:t xml:space="preserve"> </w:t>
      </w:r>
      <w:r w:rsidR="00BC1963">
        <w:rPr>
          <w:rFonts w:ascii="Arial" w:hAnsi="Arial" w:cs="Arial"/>
          <w:lang w:val="en-US"/>
        </w:rPr>
        <w:t xml:space="preserve">CHO </w:t>
      </w:r>
      <w:r w:rsidR="00D6396A">
        <w:rPr>
          <w:rFonts w:ascii="Arial" w:hAnsi="Arial" w:cs="Arial"/>
          <w:lang w:val="en-US"/>
        </w:rPr>
        <w:t>target cell’s PCI</w:t>
      </w:r>
      <w:r>
        <w:rPr>
          <w:rFonts w:ascii="Arial" w:hAnsi="Arial" w:cs="Arial"/>
          <w:lang w:val="en-US"/>
        </w:rPr>
        <w:t>.</w:t>
      </w:r>
    </w:p>
    <w:p w14:paraId="0EADA73F" w14:textId="382CBE2C" w:rsidR="003D6E68" w:rsidRDefault="003D6E68" w:rsidP="003D6E68">
      <w:pPr>
        <w:pStyle w:val="Header"/>
        <w:numPr>
          <w:ilvl w:val="0"/>
          <w:numId w:val="15"/>
        </w:numPr>
        <w:tabs>
          <w:tab w:val="clear" w:pos="4153"/>
          <w:tab w:val="clear" w:pos="8306"/>
        </w:tabs>
        <w:spacing w:after="120"/>
        <w:jc w:val="both"/>
        <w:rPr>
          <w:rFonts w:ascii="Arial" w:hAnsi="Arial" w:cs="Arial"/>
          <w:lang w:val="en-US"/>
        </w:rPr>
      </w:pPr>
      <w:r>
        <w:rPr>
          <w:rFonts w:ascii="Arial" w:hAnsi="Arial" w:cs="Arial"/>
          <w:lang w:val="en-US"/>
        </w:rPr>
        <w:t xml:space="preserve">RAN3 to discuss and (if deemed feasible) define the source </w:t>
      </w:r>
      <w:proofErr w:type="spellStart"/>
      <w:r>
        <w:rPr>
          <w:rFonts w:ascii="Arial" w:hAnsi="Arial" w:cs="Arial"/>
          <w:lang w:val="en-US"/>
        </w:rPr>
        <w:t>eNB</w:t>
      </w:r>
      <w:proofErr w:type="spellEnd"/>
      <w:r>
        <w:rPr>
          <w:rFonts w:ascii="Arial" w:hAnsi="Arial" w:cs="Arial"/>
          <w:lang w:val="en-US"/>
        </w:rPr>
        <w:t xml:space="preserve"> behavior</w:t>
      </w:r>
      <w:r w:rsidR="00BC195C">
        <w:rPr>
          <w:rFonts w:ascii="Arial" w:hAnsi="Arial" w:cs="Arial"/>
          <w:lang w:val="en-US"/>
        </w:rPr>
        <w:t xml:space="preserve"> and any associated peer node signaling </w:t>
      </w:r>
      <w:bookmarkStart w:id="0" w:name="_GoBack"/>
      <w:bookmarkEnd w:id="0"/>
      <w:r>
        <w:rPr>
          <w:rFonts w:ascii="Arial" w:hAnsi="Arial" w:cs="Arial"/>
          <w:lang w:val="en-US"/>
        </w:rPr>
        <w:t xml:space="preserve">upon receipt of such a layer 1 CHO “bye” message. Source </w:t>
      </w:r>
      <w:proofErr w:type="spellStart"/>
      <w:r>
        <w:rPr>
          <w:rFonts w:ascii="Arial" w:hAnsi="Arial" w:cs="Arial"/>
          <w:lang w:val="en-US"/>
        </w:rPr>
        <w:t>eNB</w:t>
      </w:r>
      <w:proofErr w:type="spellEnd"/>
      <w:r>
        <w:rPr>
          <w:rFonts w:ascii="Arial" w:hAnsi="Arial" w:cs="Arial"/>
          <w:lang w:val="en-US"/>
        </w:rPr>
        <w:t xml:space="preserve"> actions, discussed in RAN2, may include (but not limited to), cleanup of resources on </w:t>
      </w:r>
      <w:r w:rsidR="00D6396A">
        <w:rPr>
          <w:rFonts w:ascii="Arial" w:hAnsi="Arial" w:cs="Arial"/>
          <w:lang w:val="en-US"/>
        </w:rPr>
        <w:t xml:space="preserve">resources on </w:t>
      </w:r>
      <w:r w:rsidR="008A6770">
        <w:rPr>
          <w:rFonts w:ascii="Arial" w:hAnsi="Arial" w:cs="Arial"/>
          <w:lang w:val="en-US"/>
        </w:rPr>
        <w:t xml:space="preserve">candidate </w:t>
      </w:r>
      <w:r w:rsidR="00D6396A">
        <w:rPr>
          <w:rFonts w:ascii="Arial" w:hAnsi="Arial" w:cs="Arial"/>
          <w:lang w:val="en-US"/>
        </w:rPr>
        <w:t xml:space="preserve">target cell(s) </w:t>
      </w:r>
      <w:r w:rsidR="008A6770">
        <w:rPr>
          <w:rFonts w:ascii="Arial" w:hAnsi="Arial" w:cs="Arial"/>
          <w:lang w:val="en-US"/>
        </w:rPr>
        <w:t xml:space="preserve">other than the one UE is executing CHO towards </w:t>
      </w:r>
      <w:r w:rsidR="00D6396A">
        <w:rPr>
          <w:rFonts w:ascii="Arial" w:hAnsi="Arial" w:cs="Arial"/>
          <w:lang w:val="en-US"/>
        </w:rPr>
        <w:t xml:space="preserve">(if included in the layer 1 CHO “bye” message), </w:t>
      </w:r>
      <w:r w:rsidR="00383695">
        <w:rPr>
          <w:rFonts w:ascii="Arial" w:hAnsi="Arial" w:cs="Arial"/>
          <w:lang w:val="en-US"/>
        </w:rPr>
        <w:t xml:space="preserve">or leave it as source </w:t>
      </w:r>
      <w:proofErr w:type="spellStart"/>
      <w:r w:rsidR="00383695">
        <w:rPr>
          <w:rFonts w:ascii="Arial" w:hAnsi="Arial" w:cs="Arial"/>
          <w:lang w:val="en-US"/>
        </w:rPr>
        <w:t>eNB</w:t>
      </w:r>
      <w:proofErr w:type="spellEnd"/>
      <w:r w:rsidR="00383695">
        <w:rPr>
          <w:rFonts w:ascii="Arial" w:hAnsi="Arial" w:cs="Arial"/>
          <w:lang w:val="en-US"/>
        </w:rPr>
        <w:t xml:space="preserve"> implementation </w:t>
      </w:r>
      <w:r w:rsidR="00BC1963">
        <w:rPr>
          <w:rFonts w:ascii="Arial" w:hAnsi="Arial" w:cs="Arial"/>
          <w:lang w:val="en-US"/>
        </w:rPr>
        <w:t>detail</w:t>
      </w:r>
      <w:r w:rsidR="00383695">
        <w:rPr>
          <w:rFonts w:ascii="Arial" w:hAnsi="Arial" w:cs="Arial"/>
          <w:lang w:val="en-US"/>
        </w:rPr>
        <w:t>.</w:t>
      </w:r>
    </w:p>
    <w:p w14:paraId="361D28C0" w14:textId="77777777" w:rsidR="007B722C" w:rsidRPr="00FE7155" w:rsidRDefault="007B722C" w:rsidP="00DE4C65">
      <w:pPr>
        <w:pStyle w:val="Header"/>
        <w:tabs>
          <w:tab w:val="clear" w:pos="4153"/>
          <w:tab w:val="clear" w:pos="8306"/>
        </w:tabs>
        <w:spacing w:after="120"/>
        <w:jc w:val="both"/>
        <w:rPr>
          <w:rFonts w:ascii="Arial" w:hAnsi="Arial" w:cs="Arial"/>
          <w:lang w:val="en-US"/>
        </w:rPr>
      </w:pPr>
    </w:p>
    <w:p w14:paraId="25682587" w14:textId="77777777" w:rsidR="00463675" w:rsidRPr="00537F50" w:rsidRDefault="00463675">
      <w:pPr>
        <w:spacing w:after="120"/>
        <w:rPr>
          <w:rFonts w:ascii="Arial" w:hAnsi="Arial" w:cs="Arial"/>
          <w:b/>
          <w:sz w:val="22"/>
        </w:rPr>
      </w:pPr>
      <w:r w:rsidRPr="00537F50">
        <w:rPr>
          <w:rFonts w:ascii="Arial" w:hAnsi="Arial" w:cs="Arial"/>
          <w:b/>
          <w:sz w:val="22"/>
        </w:rPr>
        <w:t>2. Actions:</w:t>
      </w:r>
    </w:p>
    <w:p w14:paraId="15329F04" w14:textId="5B6C3E20" w:rsidR="00383695" w:rsidRDefault="00463675" w:rsidP="00E03142">
      <w:pPr>
        <w:spacing w:after="120"/>
        <w:ind w:left="993" w:hanging="993"/>
        <w:rPr>
          <w:rFonts w:ascii="Arial" w:hAnsi="Arial" w:cs="Arial"/>
          <w:b/>
        </w:rPr>
      </w:pPr>
      <w:r>
        <w:rPr>
          <w:rFonts w:ascii="Arial" w:hAnsi="Arial" w:cs="Arial"/>
          <w:b/>
        </w:rPr>
        <w:t>ACTION</w:t>
      </w:r>
      <w:r w:rsidR="00383695">
        <w:rPr>
          <w:rFonts w:ascii="Arial" w:hAnsi="Arial" w:cs="Arial"/>
          <w:b/>
        </w:rPr>
        <w:t xml:space="preserve"> 1</w:t>
      </w:r>
      <w:r>
        <w:rPr>
          <w:rFonts w:ascii="Arial" w:hAnsi="Arial" w:cs="Arial"/>
          <w:b/>
        </w:rPr>
        <w:t>:</w:t>
      </w:r>
    </w:p>
    <w:p w14:paraId="60403546" w14:textId="2EC2C75B" w:rsidR="00383695" w:rsidRPr="00383695" w:rsidRDefault="00383695" w:rsidP="0038369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 WG4, RAN WG1, RAN WG3:</w:t>
      </w:r>
    </w:p>
    <w:p w14:paraId="3FBE9166" w14:textId="5F83D99D" w:rsidR="00E57BA2" w:rsidRDefault="002A6E4C" w:rsidP="00E03142">
      <w:pPr>
        <w:spacing w:after="120"/>
        <w:ind w:left="993" w:hanging="993"/>
        <w:rPr>
          <w:rFonts w:ascii="Arial" w:hAnsi="Arial" w:cs="Arial"/>
          <w:lang w:val="en-US"/>
        </w:rPr>
      </w:pPr>
      <w:r>
        <w:rPr>
          <w:rFonts w:ascii="Arial" w:hAnsi="Arial" w:cs="Arial"/>
        </w:rPr>
        <w:t xml:space="preserve">RAN2 respectfully asks </w:t>
      </w:r>
      <w:r w:rsidR="00E02130">
        <w:rPr>
          <w:rFonts w:ascii="Arial" w:hAnsi="Arial" w:cs="Arial"/>
        </w:rPr>
        <w:t>RAN</w:t>
      </w:r>
      <w:r w:rsidR="00DE4C65">
        <w:rPr>
          <w:rFonts w:ascii="Arial" w:hAnsi="Arial" w:cs="Arial"/>
        </w:rPr>
        <w:t>4</w:t>
      </w:r>
      <w:r w:rsidR="004068C4">
        <w:rPr>
          <w:rFonts w:ascii="Arial" w:hAnsi="Arial" w:cs="Arial"/>
        </w:rPr>
        <w:t>, RAN1, and RAN3</w:t>
      </w:r>
      <w:r w:rsidR="002633C1">
        <w:rPr>
          <w:rFonts w:ascii="Arial" w:hAnsi="Arial" w:cs="Arial"/>
        </w:rPr>
        <w:t xml:space="preserve"> to</w:t>
      </w:r>
      <w:r w:rsidR="00F90A48">
        <w:rPr>
          <w:rFonts w:ascii="Arial" w:hAnsi="Arial" w:cs="Arial"/>
          <w:lang w:val="en-US"/>
        </w:rPr>
        <w:t xml:space="preserve"> take </w:t>
      </w:r>
      <w:r w:rsidR="00383695">
        <w:rPr>
          <w:rFonts w:ascii="Arial" w:hAnsi="Arial" w:cs="Arial"/>
          <w:lang w:val="en-US"/>
        </w:rPr>
        <w:t>(A)</w:t>
      </w:r>
      <w:r w:rsidR="00F90A48">
        <w:rPr>
          <w:rFonts w:ascii="Arial" w:hAnsi="Arial" w:cs="Arial"/>
          <w:lang w:val="en-US"/>
        </w:rPr>
        <w:t xml:space="preserve"> into consideration for</w:t>
      </w:r>
      <w:r w:rsidR="00383695">
        <w:rPr>
          <w:rFonts w:ascii="Arial" w:hAnsi="Arial" w:cs="Arial"/>
          <w:lang w:val="en-US"/>
        </w:rPr>
        <w:t xml:space="preserve"> their</w:t>
      </w:r>
      <w:r w:rsidR="00F90A48">
        <w:rPr>
          <w:rFonts w:ascii="Arial" w:hAnsi="Arial" w:cs="Arial"/>
          <w:lang w:val="en-US"/>
        </w:rPr>
        <w:t xml:space="preserve"> </w:t>
      </w:r>
      <w:proofErr w:type="spellStart"/>
      <w:r w:rsidR="00F90A48">
        <w:rPr>
          <w:rFonts w:ascii="Arial" w:hAnsi="Arial" w:cs="Arial"/>
          <w:lang w:val="en-US"/>
        </w:rPr>
        <w:t>LTE_feMob</w:t>
      </w:r>
      <w:proofErr w:type="spellEnd"/>
      <w:r w:rsidR="00F90A48">
        <w:rPr>
          <w:rFonts w:ascii="Arial" w:hAnsi="Arial" w:cs="Arial"/>
          <w:lang w:val="en-US"/>
        </w:rPr>
        <w:t xml:space="preserve"> work.</w:t>
      </w:r>
    </w:p>
    <w:p w14:paraId="0988F398" w14:textId="77777777" w:rsidR="00383695" w:rsidRDefault="00383695" w:rsidP="00E03142">
      <w:pPr>
        <w:spacing w:after="120"/>
        <w:ind w:left="993" w:hanging="993"/>
        <w:rPr>
          <w:rFonts w:ascii="Arial" w:hAnsi="Arial" w:cs="Arial"/>
          <w:lang w:val="en-US"/>
        </w:rPr>
      </w:pPr>
    </w:p>
    <w:p w14:paraId="2F4C8885" w14:textId="597C4D6B" w:rsidR="00383695" w:rsidRDefault="00383695" w:rsidP="00383695">
      <w:pPr>
        <w:spacing w:after="120"/>
        <w:ind w:left="993" w:hanging="993"/>
        <w:rPr>
          <w:rFonts w:ascii="Arial" w:hAnsi="Arial" w:cs="Arial"/>
          <w:b/>
        </w:rPr>
      </w:pPr>
      <w:r>
        <w:rPr>
          <w:rFonts w:ascii="Arial" w:hAnsi="Arial" w:cs="Arial"/>
          <w:b/>
        </w:rPr>
        <w:t>ACTION 2:</w:t>
      </w:r>
    </w:p>
    <w:p w14:paraId="261E2AB0" w14:textId="294175F8" w:rsidR="00383695" w:rsidRPr="00383695" w:rsidRDefault="00383695" w:rsidP="0038369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 WG1, RAN WG3:</w:t>
      </w:r>
    </w:p>
    <w:p w14:paraId="6E5869A4" w14:textId="6A96A1E0" w:rsidR="00383695" w:rsidRDefault="00383695" w:rsidP="00383695">
      <w:pPr>
        <w:spacing w:after="120"/>
        <w:ind w:left="993" w:hanging="993"/>
        <w:rPr>
          <w:rFonts w:ascii="Arial" w:hAnsi="Arial" w:cs="Arial"/>
          <w:lang w:val="en-US"/>
        </w:rPr>
      </w:pPr>
      <w:r>
        <w:rPr>
          <w:rFonts w:ascii="Arial" w:hAnsi="Arial" w:cs="Arial"/>
        </w:rPr>
        <w:t>RAN2 respectfully asks RAN1, and RAN3 to</w:t>
      </w:r>
      <w:r>
        <w:rPr>
          <w:rFonts w:ascii="Arial" w:hAnsi="Arial" w:cs="Arial"/>
          <w:lang w:val="en-US"/>
        </w:rPr>
        <w:t xml:space="preserve"> take (B) into consideration for their </w:t>
      </w:r>
      <w:proofErr w:type="spellStart"/>
      <w:r>
        <w:rPr>
          <w:rFonts w:ascii="Arial" w:hAnsi="Arial" w:cs="Arial"/>
          <w:lang w:val="en-US"/>
        </w:rPr>
        <w:t>LTE_feMob</w:t>
      </w:r>
      <w:proofErr w:type="spellEnd"/>
      <w:r>
        <w:rPr>
          <w:rFonts w:ascii="Arial" w:hAnsi="Arial" w:cs="Arial"/>
          <w:lang w:val="en-US"/>
        </w:rPr>
        <w:t xml:space="preserve"> work.</w:t>
      </w:r>
    </w:p>
    <w:p w14:paraId="47F004C7" w14:textId="5ACBC3E3" w:rsidR="00E02F9B" w:rsidRDefault="00E02F9B">
      <w:pPr>
        <w:spacing w:after="120"/>
        <w:rPr>
          <w:rFonts w:ascii="Arial" w:hAnsi="Arial" w:cs="Arial"/>
          <w:b/>
        </w:rPr>
      </w:pPr>
    </w:p>
    <w:p w14:paraId="5626B17B" w14:textId="337BAEAD" w:rsidR="00F90A48" w:rsidRDefault="00F90A48">
      <w:pPr>
        <w:spacing w:after="120"/>
        <w:rPr>
          <w:rFonts w:ascii="Arial" w:hAnsi="Arial" w:cs="Arial"/>
          <w:b/>
          <w:lang w:val="en-US"/>
        </w:rPr>
      </w:pPr>
    </w:p>
    <w:p w14:paraId="2AE8DECB" w14:textId="77777777" w:rsidR="00565544" w:rsidRPr="00F90A48" w:rsidRDefault="00565544">
      <w:pPr>
        <w:spacing w:after="120"/>
        <w:rPr>
          <w:rFonts w:ascii="Arial" w:hAnsi="Arial" w:cs="Arial"/>
          <w:b/>
          <w:lang w:val="en-US"/>
        </w:rPr>
      </w:pPr>
    </w:p>
    <w:p w14:paraId="3C2472DD" w14:textId="0B06D63C" w:rsidR="00E7017E" w:rsidRPr="00537F50" w:rsidRDefault="00463675" w:rsidP="005C7689">
      <w:pPr>
        <w:spacing w:after="120"/>
        <w:rPr>
          <w:rFonts w:ascii="Arial" w:hAnsi="Arial" w:cs="Arial"/>
          <w:b/>
          <w:sz w:val="22"/>
        </w:rPr>
      </w:pPr>
      <w:r w:rsidRPr="00537F50">
        <w:rPr>
          <w:rFonts w:ascii="Arial" w:hAnsi="Arial" w:cs="Arial"/>
          <w:b/>
          <w:sz w:val="22"/>
        </w:rPr>
        <w:t>3. Date of Next TSG-</w:t>
      </w:r>
      <w:r w:rsidR="00881F64" w:rsidRPr="00537F50">
        <w:rPr>
          <w:rFonts w:ascii="Arial" w:hAnsi="Arial" w:cs="Arial"/>
          <w:b/>
          <w:sz w:val="22"/>
        </w:rPr>
        <w:t>RAN WG2</w:t>
      </w:r>
      <w:r w:rsidRPr="00537F50">
        <w:rPr>
          <w:rFonts w:ascii="Arial" w:hAnsi="Arial" w:cs="Arial"/>
          <w:b/>
          <w:sz w:val="22"/>
        </w:rPr>
        <w:t xml:space="preserve"> Meetings:</w:t>
      </w:r>
    </w:p>
    <w:p w14:paraId="217E91C9" w14:textId="4242C6D2"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r w:rsidR="00E02130">
        <w:rPr>
          <w:rFonts w:ascii="Arial" w:hAnsi="Arial" w:cs="Arial"/>
          <w:bCs/>
        </w:rPr>
        <w:t xml:space="preserve">, </w:t>
      </w:r>
      <w:r w:rsidR="00F90A48">
        <w:rPr>
          <w:rFonts w:ascii="Arial" w:hAnsi="Arial" w:cs="Arial"/>
          <w:bCs/>
        </w:rPr>
        <w:t>Czech Republic</w:t>
      </w:r>
    </w:p>
    <w:p w14:paraId="0D6CA572" w14:textId="4AD51833" w:rsidR="00F90A48" w:rsidRDefault="00F90A48" w:rsidP="00F90A48">
      <w:pPr>
        <w:tabs>
          <w:tab w:val="left" w:pos="3119"/>
        </w:tabs>
        <w:spacing w:after="120"/>
        <w:ind w:left="2268" w:hanging="2268"/>
        <w:rPr>
          <w:rFonts w:ascii="Arial" w:hAnsi="Arial" w:cs="Arial"/>
          <w:bCs/>
        </w:rPr>
      </w:pPr>
      <w:r>
        <w:rPr>
          <w:rFonts w:ascii="Arial" w:hAnsi="Arial" w:cs="Arial"/>
          <w:bCs/>
        </w:rPr>
        <w:t>3GPP RAN2#107</w:t>
      </w:r>
      <w:r w:rsidR="00BC0E4B">
        <w:rPr>
          <w:rFonts w:ascii="Arial" w:hAnsi="Arial" w:cs="Arial"/>
          <w:bCs/>
        </w:rPr>
        <w:t>bis</w:t>
      </w:r>
      <w:r>
        <w:rPr>
          <w:rFonts w:ascii="Arial" w:hAnsi="Arial" w:cs="Arial"/>
          <w:bCs/>
        </w:rPr>
        <w:tab/>
      </w:r>
      <w:r>
        <w:rPr>
          <w:rFonts w:ascii="Arial" w:hAnsi="Arial" w:cs="Arial"/>
          <w:bCs/>
        </w:rPr>
        <w:tab/>
        <w:t>14 – 18 October 2019</w:t>
      </w:r>
      <w:r>
        <w:rPr>
          <w:rFonts w:ascii="Arial" w:hAnsi="Arial" w:cs="Arial"/>
          <w:bCs/>
        </w:rPr>
        <w:tab/>
      </w:r>
      <w:r w:rsidR="004D20A1">
        <w:rPr>
          <w:rFonts w:ascii="Arial" w:hAnsi="Arial" w:cs="Arial"/>
          <w:bCs/>
        </w:rPr>
        <w:t xml:space="preserve">TBD, </w:t>
      </w:r>
      <w:r>
        <w:rPr>
          <w:rFonts w:ascii="Arial" w:hAnsi="Arial" w:cs="Arial"/>
          <w:bCs/>
        </w:rPr>
        <w:t>China</w:t>
      </w:r>
    </w:p>
    <w:p w14:paraId="36FC704A" w14:textId="77777777" w:rsidR="00F90A48" w:rsidRDefault="00F90A48" w:rsidP="004D1605">
      <w:pPr>
        <w:tabs>
          <w:tab w:val="left" w:pos="3119"/>
        </w:tabs>
        <w:spacing w:after="120"/>
        <w:ind w:left="2268" w:hanging="2268"/>
        <w:rPr>
          <w:rFonts w:ascii="Arial" w:hAnsi="Arial" w:cs="Arial"/>
          <w:bCs/>
        </w:rPr>
      </w:pPr>
    </w:p>
    <w:sectPr w:rsidR="00F90A4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CC552" w14:textId="77777777" w:rsidR="005D17E6" w:rsidRDefault="005D17E6">
      <w:r>
        <w:separator/>
      </w:r>
    </w:p>
  </w:endnote>
  <w:endnote w:type="continuationSeparator" w:id="0">
    <w:p w14:paraId="042BD9F9" w14:textId="77777777" w:rsidR="005D17E6" w:rsidRDefault="005D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2DB5" w14:textId="77777777" w:rsidR="005D17E6" w:rsidRDefault="005D17E6">
      <w:r>
        <w:separator/>
      </w:r>
    </w:p>
  </w:footnote>
  <w:footnote w:type="continuationSeparator" w:id="0">
    <w:p w14:paraId="49ADEDB2" w14:textId="77777777" w:rsidR="005D17E6" w:rsidRDefault="005D1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B3E4908"/>
    <w:multiLevelType w:val="hybridMultilevel"/>
    <w:tmpl w:val="4726E59E"/>
    <w:lvl w:ilvl="0" w:tplc="1A4AD21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CE00C8C"/>
    <w:multiLevelType w:val="hybridMultilevel"/>
    <w:tmpl w:val="0EAC29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445A70"/>
    <w:multiLevelType w:val="hybridMultilevel"/>
    <w:tmpl w:val="7E644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B40E11"/>
    <w:multiLevelType w:val="hybridMultilevel"/>
    <w:tmpl w:val="21B46D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0"/>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5"/>
  </w:num>
  <w:num w:numId="12">
    <w:abstractNumId w:val="11"/>
  </w:num>
  <w:num w:numId="13">
    <w:abstractNumId w:val="14"/>
  </w:num>
  <w:num w:numId="14">
    <w:abstractNumId w:val="1"/>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6C2"/>
    <w:rsid w:val="0003565A"/>
    <w:rsid w:val="0003719B"/>
    <w:rsid w:val="00045511"/>
    <w:rsid w:val="000D113A"/>
    <w:rsid w:val="000F12FD"/>
    <w:rsid w:val="00100FE3"/>
    <w:rsid w:val="001063EA"/>
    <w:rsid w:val="00114371"/>
    <w:rsid w:val="00116B82"/>
    <w:rsid w:val="00123B06"/>
    <w:rsid w:val="001576BB"/>
    <w:rsid w:val="00177DA3"/>
    <w:rsid w:val="00193164"/>
    <w:rsid w:val="001A36B3"/>
    <w:rsid w:val="001A7080"/>
    <w:rsid w:val="001A7991"/>
    <w:rsid w:val="001B008D"/>
    <w:rsid w:val="001D2108"/>
    <w:rsid w:val="00220708"/>
    <w:rsid w:val="00222A4F"/>
    <w:rsid w:val="00233BD7"/>
    <w:rsid w:val="0024067D"/>
    <w:rsid w:val="00254238"/>
    <w:rsid w:val="00261C7D"/>
    <w:rsid w:val="002633C1"/>
    <w:rsid w:val="00270DF0"/>
    <w:rsid w:val="0027716B"/>
    <w:rsid w:val="00282DA9"/>
    <w:rsid w:val="00283A52"/>
    <w:rsid w:val="00290F72"/>
    <w:rsid w:val="002A0310"/>
    <w:rsid w:val="002A542F"/>
    <w:rsid w:val="002A6E4C"/>
    <w:rsid w:val="002D095E"/>
    <w:rsid w:val="002E75E4"/>
    <w:rsid w:val="0030138D"/>
    <w:rsid w:val="00302127"/>
    <w:rsid w:val="0030356A"/>
    <w:rsid w:val="003100EB"/>
    <w:rsid w:val="00320C11"/>
    <w:rsid w:val="003221D8"/>
    <w:rsid w:val="00324418"/>
    <w:rsid w:val="003277A4"/>
    <w:rsid w:val="003341F9"/>
    <w:rsid w:val="00335FAB"/>
    <w:rsid w:val="0034503F"/>
    <w:rsid w:val="00345E67"/>
    <w:rsid w:val="003527DA"/>
    <w:rsid w:val="00354F51"/>
    <w:rsid w:val="003632EE"/>
    <w:rsid w:val="00370D91"/>
    <w:rsid w:val="003807F6"/>
    <w:rsid w:val="00383695"/>
    <w:rsid w:val="00385529"/>
    <w:rsid w:val="00390712"/>
    <w:rsid w:val="003945F8"/>
    <w:rsid w:val="003946BE"/>
    <w:rsid w:val="003957FA"/>
    <w:rsid w:val="003A719E"/>
    <w:rsid w:val="003B117D"/>
    <w:rsid w:val="003C3065"/>
    <w:rsid w:val="003C44A3"/>
    <w:rsid w:val="003D6E68"/>
    <w:rsid w:val="003E0EE0"/>
    <w:rsid w:val="004068C4"/>
    <w:rsid w:val="004120BA"/>
    <w:rsid w:val="004147C2"/>
    <w:rsid w:val="00417F6D"/>
    <w:rsid w:val="00437F70"/>
    <w:rsid w:val="00452B0D"/>
    <w:rsid w:val="00463675"/>
    <w:rsid w:val="00470987"/>
    <w:rsid w:val="00496D50"/>
    <w:rsid w:val="004A03EC"/>
    <w:rsid w:val="004B10B5"/>
    <w:rsid w:val="004C6071"/>
    <w:rsid w:val="004D1605"/>
    <w:rsid w:val="004D20A1"/>
    <w:rsid w:val="004E2356"/>
    <w:rsid w:val="004F3AA9"/>
    <w:rsid w:val="0050174F"/>
    <w:rsid w:val="00501F64"/>
    <w:rsid w:val="00505765"/>
    <w:rsid w:val="00505F59"/>
    <w:rsid w:val="00533458"/>
    <w:rsid w:val="00537F50"/>
    <w:rsid w:val="005442C3"/>
    <w:rsid w:val="00557D6F"/>
    <w:rsid w:val="00565544"/>
    <w:rsid w:val="005741D6"/>
    <w:rsid w:val="00591547"/>
    <w:rsid w:val="005921A6"/>
    <w:rsid w:val="00592774"/>
    <w:rsid w:val="00594DA5"/>
    <w:rsid w:val="005A6524"/>
    <w:rsid w:val="005C373E"/>
    <w:rsid w:val="005C7689"/>
    <w:rsid w:val="005D1733"/>
    <w:rsid w:val="005D17E6"/>
    <w:rsid w:val="005D558D"/>
    <w:rsid w:val="005D5906"/>
    <w:rsid w:val="005E5DB4"/>
    <w:rsid w:val="005F7506"/>
    <w:rsid w:val="005F7637"/>
    <w:rsid w:val="00633743"/>
    <w:rsid w:val="00642CAC"/>
    <w:rsid w:val="006431E6"/>
    <w:rsid w:val="00667F66"/>
    <w:rsid w:val="0067303B"/>
    <w:rsid w:val="006775AB"/>
    <w:rsid w:val="006A473B"/>
    <w:rsid w:val="006A6FB2"/>
    <w:rsid w:val="006B2129"/>
    <w:rsid w:val="006D1114"/>
    <w:rsid w:val="006D2A1D"/>
    <w:rsid w:val="006E507D"/>
    <w:rsid w:val="006F7688"/>
    <w:rsid w:val="006F799E"/>
    <w:rsid w:val="00701A2B"/>
    <w:rsid w:val="00710E04"/>
    <w:rsid w:val="0071523B"/>
    <w:rsid w:val="007822EF"/>
    <w:rsid w:val="00787EAC"/>
    <w:rsid w:val="007A4EDE"/>
    <w:rsid w:val="007A671D"/>
    <w:rsid w:val="007B722C"/>
    <w:rsid w:val="007D122D"/>
    <w:rsid w:val="00806E3A"/>
    <w:rsid w:val="0084501F"/>
    <w:rsid w:val="00845F63"/>
    <w:rsid w:val="0084604E"/>
    <w:rsid w:val="00847CCB"/>
    <w:rsid w:val="008612CD"/>
    <w:rsid w:val="00865ED7"/>
    <w:rsid w:val="00881F64"/>
    <w:rsid w:val="008831D9"/>
    <w:rsid w:val="00883DB4"/>
    <w:rsid w:val="008A6770"/>
    <w:rsid w:val="008B43E2"/>
    <w:rsid w:val="008D1B54"/>
    <w:rsid w:val="008F358E"/>
    <w:rsid w:val="008F581B"/>
    <w:rsid w:val="00907392"/>
    <w:rsid w:val="00916145"/>
    <w:rsid w:val="00923E7C"/>
    <w:rsid w:val="00941A45"/>
    <w:rsid w:val="00950DE4"/>
    <w:rsid w:val="00952417"/>
    <w:rsid w:val="00955602"/>
    <w:rsid w:val="00955C88"/>
    <w:rsid w:val="0096221E"/>
    <w:rsid w:val="009778A3"/>
    <w:rsid w:val="009813C9"/>
    <w:rsid w:val="00984727"/>
    <w:rsid w:val="009B2EB9"/>
    <w:rsid w:val="009C31ED"/>
    <w:rsid w:val="009D594E"/>
    <w:rsid w:val="009E27E2"/>
    <w:rsid w:val="009E5C7E"/>
    <w:rsid w:val="00A1282E"/>
    <w:rsid w:val="00A129D6"/>
    <w:rsid w:val="00A12ABA"/>
    <w:rsid w:val="00A1443B"/>
    <w:rsid w:val="00A151A0"/>
    <w:rsid w:val="00A245CA"/>
    <w:rsid w:val="00A3454C"/>
    <w:rsid w:val="00A40236"/>
    <w:rsid w:val="00A45BD7"/>
    <w:rsid w:val="00A56D45"/>
    <w:rsid w:val="00A6412A"/>
    <w:rsid w:val="00A64F79"/>
    <w:rsid w:val="00A8524C"/>
    <w:rsid w:val="00A87B43"/>
    <w:rsid w:val="00AA637B"/>
    <w:rsid w:val="00AC4DE6"/>
    <w:rsid w:val="00AE4EB1"/>
    <w:rsid w:val="00AE5661"/>
    <w:rsid w:val="00AF3FA4"/>
    <w:rsid w:val="00B255A7"/>
    <w:rsid w:val="00B33A9B"/>
    <w:rsid w:val="00B544D2"/>
    <w:rsid w:val="00B556D7"/>
    <w:rsid w:val="00B5648B"/>
    <w:rsid w:val="00B66CC7"/>
    <w:rsid w:val="00B676CA"/>
    <w:rsid w:val="00B70E77"/>
    <w:rsid w:val="00BB01AC"/>
    <w:rsid w:val="00BB0CAD"/>
    <w:rsid w:val="00BC0E4B"/>
    <w:rsid w:val="00BC195C"/>
    <w:rsid w:val="00BC1963"/>
    <w:rsid w:val="00BD604A"/>
    <w:rsid w:val="00BE1F84"/>
    <w:rsid w:val="00BE656A"/>
    <w:rsid w:val="00BE7CC9"/>
    <w:rsid w:val="00BF32CE"/>
    <w:rsid w:val="00C021DE"/>
    <w:rsid w:val="00C231ED"/>
    <w:rsid w:val="00C2354D"/>
    <w:rsid w:val="00C4475D"/>
    <w:rsid w:val="00C51C0C"/>
    <w:rsid w:val="00C52AEB"/>
    <w:rsid w:val="00C5522D"/>
    <w:rsid w:val="00C67983"/>
    <w:rsid w:val="00C750D8"/>
    <w:rsid w:val="00C901F7"/>
    <w:rsid w:val="00CA0491"/>
    <w:rsid w:val="00CB2DDF"/>
    <w:rsid w:val="00D24338"/>
    <w:rsid w:val="00D36C10"/>
    <w:rsid w:val="00D40BEF"/>
    <w:rsid w:val="00D42DF3"/>
    <w:rsid w:val="00D50943"/>
    <w:rsid w:val="00D6396A"/>
    <w:rsid w:val="00D65530"/>
    <w:rsid w:val="00D74A1C"/>
    <w:rsid w:val="00D75660"/>
    <w:rsid w:val="00D876BF"/>
    <w:rsid w:val="00DA6657"/>
    <w:rsid w:val="00DC5BFA"/>
    <w:rsid w:val="00DC6C67"/>
    <w:rsid w:val="00DE4C65"/>
    <w:rsid w:val="00DF1BA4"/>
    <w:rsid w:val="00DF7F04"/>
    <w:rsid w:val="00E02130"/>
    <w:rsid w:val="00E02F9B"/>
    <w:rsid w:val="00E03142"/>
    <w:rsid w:val="00E3072C"/>
    <w:rsid w:val="00E5415D"/>
    <w:rsid w:val="00E57BA2"/>
    <w:rsid w:val="00E7017E"/>
    <w:rsid w:val="00E73827"/>
    <w:rsid w:val="00E83F3C"/>
    <w:rsid w:val="00EB7585"/>
    <w:rsid w:val="00EC2503"/>
    <w:rsid w:val="00ED133C"/>
    <w:rsid w:val="00ED4B16"/>
    <w:rsid w:val="00F11820"/>
    <w:rsid w:val="00F163B9"/>
    <w:rsid w:val="00F17587"/>
    <w:rsid w:val="00F23FFC"/>
    <w:rsid w:val="00F34E85"/>
    <w:rsid w:val="00F34EDE"/>
    <w:rsid w:val="00F4088C"/>
    <w:rsid w:val="00F54C66"/>
    <w:rsid w:val="00F90A48"/>
    <w:rsid w:val="00FC4C90"/>
    <w:rsid w:val="00FC666E"/>
    <w:rsid w:val="00FD3596"/>
    <w:rsid w:val="00FE715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3957F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957FA"/>
    <w:rPr>
      <w:rFonts w:ascii="Arial" w:hAnsi="Arial"/>
      <w:lang w:val="en-GB"/>
    </w:rPr>
  </w:style>
  <w:style w:type="character" w:customStyle="1" w:styleId="CommentSubjectChar">
    <w:name w:val="Comment Subject Char"/>
    <w:basedOn w:val="CommentTextChar"/>
    <w:link w:val="CommentSubject"/>
    <w:uiPriority w:val="99"/>
    <w:semiHidden/>
    <w:rsid w:val="003957F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5AIRPNAIUNRU-859666464-4954</_dlc_DocId>
    <_dlc_DocIdUrl xmlns="71c5aaf6-e6ce-465b-b873-5148d2a4c105">
      <Url>https://nokia.sharepoint.com/sites/c5g/e2earch/_layouts/15/DocIdRedir.aspx?ID=5AIRPNAIUNRU-859666464-4954</Url>
      <Description>5AIRPNAIUNRU-859666464-4954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504</Words>
  <Characters>2878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Maulik Vaidya (Charter)</cp:lastModifiedBy>
  <cp:revision>13</cp:revision>
  <cp:lastPrinted>2002-04-23T00:10:00Z</cp:lastPrinted>
  <dcterms:created xsi:type="dcterms:W3CDTF">2019-04-12T08:02:00Z</dcterms:created>
  <dcterms:modified xsi:type="dcterms:W3CDTF">2019-05-02T20:41:00Z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0072c379-1b07-492d-a974-99f1a7f79dd9</vt:lpwstr>
  </property>
  <property fmtid="{D5CDD505-2E9C-101B-9397-08002B2CF9AE}" pid="4" name="NSCPROP_SA">
    <vt:lpwstr>D:\황준\RAN2#105b\SYNC\related Offlines\LTE CHO draft LS\draftR2-1905322 LS on Conditional Handover in E-UTRAN and NR.docx</vt:lpwstr>
  </property>
</Properties>
</file>